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309</w:t>
      </w:r>
    </w:p>
    <w:p>
      <w:r>
        <w:t>Bundesgericht (BGE), 1969-09-15, DE</w:t>
      </w:r>
    </w:p>
    <w:p>
      <w:r>
        <w:rPr>
          <w:b/>
        </w:rPr>
        <w:t xml:space="preserve">Quelle: </w:t>
      </w:r>
      <w:r>
        <w:t>https://mcp.opencaselaw.ch/entscheid/bge_95 II 309</w:t>
      </w:r>
    </w:p>
    <w:p>
      <w:r>
        <w:t>FR: ATF 95 II 309</w:t>
      </w:r>
    </w:p>
    <w:p>
      <w:r>
        <w:t>IT: DTF 95 II 309</w:t>
      </w:r>
    </w:p>
    <w:p>
      <w:pPr>
        <w:pStyle w:val="Heading2"/>
      </w:pPr>
      <w:r>
        <w:t>Regeste</w:t>
      </w:r>
    </w:p>
    <w:p>
      <w:r>
        <w:t>Regeste Kauf oder Tausch von Grundstücken. Anforderungen an die öffentliche Beurkundung, wenn die Kauf- oder Tauschsache von der einen oder andern Partei aus einer Mehrzahl von Grundstücken soll ausgewählt werden können.</w:t>
      </w:r>
    </w:p>
    <w:p>
      <w:pPr>
        <w:pStyle w:val="Heading2"/>
      </w:pPr>
      <w:r>
        <w:t>Erwägungen</w:t>
      </w:r>
    </w:p>
    <w:p>
      <w:r>
        <w:rPr>
          <w:b/>
        </w:rPr>
        <w:t>E. 2</w:t>
      </w:r>
    </w:p>
    <w:p>
      <w:r>
        <w:t>- Verträge auf Uebertragung von Grundeigentum bedürfen zu ihrer Verbindlichkeit der öffentlichen Beurkundung ( Art. 657 Abs. 1 ZGB ). Das gilt insbesondere für den Kauf ( Art. 216 Abs. 1 OR ) und für Tauschverträge ( Art. 237 OR ), wenn sie ein Grundstück zum Gegenstand haben. Die öffentliche Urkunde hat nach der Rechtsprechung des Bundesgerichtes alle wesentlichen Punkte des Vertrages zu decken ( BGE 84 IV 164 , BGE 86 II 36 f., 231, 260, 400, BGE 87 II 30 , BGE 88 II 160 , BGE 90 II 24 , 37, 156, 296, BGE 92 II 324 , BGE 93 II 104 ). Insbesondere muss aus ihr hervorgehen, welches Grundstück Gegenstand des Vertrages ist ( BGE 90 II 24 ; BGE 95 II 42 , Erw. 1). Diese Anforderung ist jedoch nur dann zu stellen, wenn die Vertragschliessenden die Verpflichtung zur Uebertragung eines ganz bestimmten Grundstückes begründen wollen, wie es in den in BGE 90 II 21 ff. und BGE 95 II 42 veröffentlichten Fällen zutraf. Wenn die Kauf- oder Tauschsache nach dem Sinne des Vertrages noch nicht bestimmt ist, sondern von der einen oder anderen Partei aus einer Mehrheit von Grundstücken soll ausgewählt werden können, kann die öffentliche Urkunde die Sache nicht bezeichnen. Es genügt dann, wenn aus der Urkunde oder dem Gesetz hervorgeht, welcher Partei die Wahl zusteht und wie das Grundstück beschaffen sein muss. Von dieser Auffassung ging das Bundesgericht auch in BGE 95 II 42 aus, wo es hervorhob, Form und Lage der gekauften Parzelle seien nicht der Auswahl durch einen der Vertragschliessenden vorbehalten worden (Erw. 1 Abs. 4). BGE 95 II 309 S. 311</w:t>
      </w:r>
    </w:p>
    <w:p>
      <w:r>
        <w:rPr>
          <w:b/>
        </w:rPr>
        <w:t>E. 3</w:t>
      </w:r>
    </w:p>
    <w:p>
      <w:r>
        <w:t>Im vorliegenden Falle ergibt sich aus der unter der Ueberschrift "Kauf- bzw. Tauschpreis" stehenden Vertragsbestimmung, dass die Beklagten dem Luigi Costa als Gegenleistung für das von ihm veräusserte Wiesland von ca. 380 m2 nicht ein bestimmtes anderes Grundstück, sondern nur "ein gleichwertiges Stück Boden" versprachen. Das folgt auch aus Ziffer 3 der "allgemeinen Vertragsbestimmungen", die dem Falle Rechnung trägt, dass "ein voller Bodenersatz nicht möglich sein und ein Aufgeld bzw. Kaufpreis vereinbart werden sollte". Das Kantonsgericht stellt denn auch verbindlich fest, Costa habe "gleichwertiges, d.h. überbaubares Land, und zwar angrenzend an eine seiner Parzellen" erwartet. Die Beklagten ihrerseits geben zu, dass sie Costa einfach ein Ersatzgrundstück versprachen, wobei sie die Auffassung vertreten, es habe irgendwo im Oberengadin liegen dürfen. Das Recht, den Tauschgegenstand auszuwählen, stand nach Art. 72 OR den Beklagten als Schuldnern zu, gleichgültig ob sie die Wahl aus allem im Oberengadin liegenden Boden oder nur aus den an die Grundstücke Costas angrenzenden Parzellen treffen durften. Die wahlberechtigte Partei brauchte in der öffentlichen Urkunde somit nicht genannt zu werden. Fragen kann sich nur, ob diese Urkunde nähere Angaben über die Lage des Tauschgegenstandes hätte enthalten müssen. Das ist zu verneinen. Die Vereinbarung, die Beklagten schuldeten "ein gleichwertiges Stück Boden", genügte vollauf. Wie das Kantonsgericht zutreffend annimmt, heisst "gleichwertig" in vergleichbarer Lage und von vergleichbarem Mass, so dass der Tauschgegenstand den gleichen Wert habe wie das von Costa veräusserte Stück Wiesland. Ausserhalb des Oberengadins durfte das Ersatzgrundstück auch nach der Auffassung der Beklagten nicht liegen. Sie haben denn auch zugegebenermassen einige Male versucht, Costa eine Parzelle zu verschaffen, die an eines seiner Grundstücke angrenzte. Die Umschreibung des Tauschgegenstandes als "gleichwertiges Stück Boden" machte nach den Umständen und den Grundsätzen von Treu und Glauben die geschuldete Leistung für die Vertragschliessenden und gegebenenfalls für den Richter bestimmbar. Entgegen der Auffassung der Beklagten leidet daher der Vertrag vom 14. Dezember 1962 nicht an einem Formmangel.</w:t>
      </w:r>
    </w:p>
    <w:p>
      <w:r>
        <w:rPr>
          <w:b/>
        </w:rPr>
        <w:t>E. 4</w:t>
      </w:r>
    </w:p>
    <w:p>
      <w:r>
        <w:t>- Da der Vertrag gültig ist, ist die Forderung des Klägers, wie das Kantonsgericht zutreffend ausführt, eine Schadenersatzforderung BGE 95 II 309 S. 312 aus Vertrag. Als solche unterliegt sie der zehnjährigen Verjährung ( Art. 127 OR ) und ist sie daher nicht ver 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